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4022F" w14:textId="77777777" w:rsidR="00312AF0" w:rsidRPr="00EE69A5" w:rsidRDefault="00312AF0" w:rsidP="00312AF0">
      <w:pPr>
        <w:spacing w:before="120" w:after="120"/>
        <w:ind w:right="187"/>
        <w:rPr>
          <w:rFonts w:ascii="Times New Roman" w:hAnsi="Times New Roman"/>
          <w:b/>
          <w:color w:val="auto"/>
          <w:sz w:val="23"/>
          <w:szCs w:val="23"/>
        </w:rPr>
        <w:sectPr w:rsidR="00312AF0" w:rsidRPr="00EE69A5" w:rsidSect="00312AF0">
          <w:footerReference w:type="default" r:id="rId7"/>
          <w:pgSz w:w="12240" w:h="15840" w:code="1"/>
          <w:pgMar w:top="907" w:right="1080" w:bottom="720" w:left="1080" w:header="720" w:footer="720" w:gutter="0"/>
          <w:cols w:num="2" w:space="720"/>
          <w:docGrid w:linePitch="360"/>
        </w:sectPr>
      </w:pPr>
    </w:p>
    <w:p w14:paraId="5A0467C4" w14:textId="77777777" w:rsidR="00312AF0" w:rsidRPr="00EE69A5" w:rsidRDefault="00B821ED" w:rsidP="00312AF0">
      <w:pPr>
        <w:spacing w:before="120" w:after="120"/>
        <w:ind w:right="90"/>
        <w:rPr>
          <w:rFonts w:ascii="Times New Roman" w:hAnsi="Times New Roman"/>
          <w:b/>
          <w:color w:val="auto"/>
          <w:sz w:val="23"/>
          <w:szCs w:val="23"/>
        </w:rPr>
      </w:pPr>
      <w:r w:rsidRPr="00EE69A5">
        <w:rPr>
          <w:rFonts w:ascii="Times New Roman" w:hAnsi="Times New Roman"/>
          <w:b/>
          <w:color w:val="auto"/>
          <w:sz w:val="23"/>
          <w:szCs w:val="23"/>
        </w:rPr>
        <w:lastRenderedPageBreak/>
        <w:t>The Rise of Young Adult Poverty in the U.S.</w:t>
      </w:r>
    </w:p>
    <w:p w14:paraId="760DA7DC" w14:textId="77777777" w:rsidR="007542E3" w:rsidRDefault="00637554" w:rsidP="00637554">
      <w:pPr>
        <w:spacing w:before="120" w:after="120"/>
        <w:ind w:right="90"/>
        <w:rPr>
          <w:rFonts w:ascii="Times New Roman" w:hAnsi="Times New Roman"/>
          <w:b/>
          <w:color w:val="auto"/>
          <w:sz w:val="23"/>
          <w:szCs w:val="23"/>
        </w:rPr>
      </w:pPr>
      <w:r w:rsidRPr="00EE69A5">
        <w:rPr>
          <w:rFonts w:ascii="Times New Roman" w:hAnsi="Times New Roman"/>
          <w:b/>
          <w:color w:val="auto"/>
          <w:sz w:val="23"/>
          <w:szCs w:val="23"/>
        </w:rPr>
        <w:t>James Hawkins</w:t>
      </w:r>
      <w:r w:rsidR="00EE69A5">
        <w:rPr>
          <w:rFonts w:ascii="Times New Roman" w:hAnsi="Times New Roman"/>
          <w:b/>
          <w:color w:val="auto"/>
          <w:sz w:val="23"/>
          <w:szCs w:val="23"/>
        </w:rPr>
        <w:t>, MPP ‘18</w:t>
      </w:r>
    </w:p>
    <w:p w14:paraId="04EDA514" w14:textId="77777777" w:rsidR="00EE69A5" w:rsidRPr="00EE69A5" w:rsidRDefault="00EE69A5" w:rsidP="00637554">
      <w:pPr>
        <w:spacing w:before="120" w:after="120"/>
        <w:ind w:right="90"/>
        <w:rPr>
          <w:rFonts w:ascii="Times New Roman" w:hAnsi="Times New Roman"/>
          <w:b/>
          <w:color w:val="auto"/>
          <w:sz w:val="23"/>
          <w:szCs w:val="23"/>
        </w:rPr>
      </w:pPr>
      <w:r>
        <w:rPr>
          <w:rFonts w:ascii="Times New Roman" w:hAnsi="Times New Roman"/>
          <w:b/>
          <w:color w:val="auto"/>
          <w:sz w:val="23"/>
          <w:szCs w:val="23"/>
        </w:rPr>
        <w:t>Associate Director, Berke</w:t>
      </w:r>
      <w:r w:rsidR="00533A38">
        <w:rPr>
          <w:rFonts w:ascii="Times New Roman" w:hAnsi="Times New Roman"/>
          <w:b/>
          <w:color w:val="auto"/>
          <w:sz w:val="23"/>
          <w:szCs w:val="23"/>
        </w:rPr>
        <w:t xml:space="preserve">ley Institute for </w:t>
      </w:r>
      <w:bookmarkStart w:id="0" w:name="_GoBack"/>
      <w:bookmarkEnd w:id="0"/>
      <w:r>
        <w:rPr>
          <w:rFonts w:ascii="Times New Roman" w:hAnsi="Times New Roman"/>
          <w:b/>
          <w:color w:val="auto"/>
          <w:sz w:val="23"/>
          <w:szCs w:val="23"/>
        </w:rPr>
        <w:t>Young Americans</w:t>
      </w:r>
    </w:p>
    <w:p w14:paraId="2BE29103" w14:textId="77777777" w:rsidR="00312AF0" w:rsidRPr="00EE69A5" w:rsidRDefault="00312AF0" w:rsidP="00637554">
      <w:pPr>
        <w:spacing w:before="120" w:after="120"/>
        <w:ind w:right="90"/>
        <w:rPr>
          <w:rFonts w:ascii="Times New Roman" w:hAnsi="Times New Roman"/>
          <w:color w:val="auto"/>
          <w:sz w:val="23"/>
          <w:szCs w:val="23"/>
        </w:rPr>
      </w:pPr>
      <w:r w:rsidRPr="00EE69A5">
        <w:rPr>
          <w:rFonts w:ascii="Times New Roman" w:hAnsi="Times New Roman"/>
          <w:color w:val="auto"/>
          <w:sz w:val="23"/>
          <w:szCs w:val="23"/>
        </w:rPr>
        <w:t>The U.S. social safety net helps to lift millions of people out of poverty through programs like the Earned Income Tax Credit, Social Security, and the Supplemental Nutrition Assistance Program. These programs target benefits to individuals and families using factors like income (means-testing), parenthood, and employment status. For many anti-poverty programs, age is also an important factor for eligibility – either implicitly or explicitly. The Social Security Retirement Insurance Benefit program is explicitly designed around senior income security. Likewise, the Earned Income Tax Credit focuses expenditures on families with children – implicitly deprioritizing many working-age adults who have not yet had children. We accept that a social safety net is necessary for the youngest and the oldest in our society because, historically, poverty has been highest among these groups – those not in the workforce and most vulnerable. But the shape of poverty in this country has changed: what if the social safety net is missing a key age group?</w:t>
      </w:r>
    </w:p>
    <w:p w14:paraId="2DE1E207" w14:textId="77777777" w:rsidR="00312AF0" w:rsidRPr="00EE69A5" w:rsidRDefault="00312AF0" w:rsidP="00312AF0">
      <w:pPr>
        <w:spacing w:before="240"/>
        <w:ind w:right="86"/>
        <w:rPr>
          <w:rFonts w:ascii="Times New Roman" w:hAnsi="Times New Roman"/>
          <w:b/>
          <w:color w:val="auto"/>
          <w:sz w:val="23"/>
          <w:szCs w:val="23"/>
        </w:rPr>
      </w:pPr>
      <w:r w:rsidRPr="00EE69A5">
        <w:rPr>
          <w:rFonts w:ascii="Times New Roman" w:hAnsi="Times New Roman"/>
          <w:b/>
          <w:color w:val="auto"/>
          <w:sz w:val="23"/>
          <w:szCs w:val="23"/>
        </w:rPr>
        <w:t>Measuring Poverty across the Age Distribution</w:t>
      </w:r>
    </w:p>
    <w:p w14:paraId="4DA8FA63" w14:textId="77777777" w:rsidR="00312AF0" w:rsidRPr="00EE69A5" w:rsidRDefault="00312AF0" w:rsidP="00312AF0">
      <w:pPr>
        <w:spacing w:after="120"/>
        <w:rPr>
          <w:rFonts w:ascii="Times New Roman" w:hAnsi="Times New Roman"/>
          <w:color w:val="auto"/>
          <w:sz w:val="23"/>
          <w:szCs w:val="23"/>
        </w:rPr>
      </w:pPr>
      <w:r w:rsidRPr="00EE69A5">
        <w:rPr>
          <w:rFonts w:ascii="Times New Roman" w:hAnsi="Times New Roman"/>
          <w:color w:val="auto"/>
          <w:sz w:val="23"/>
          <w:szCs w:val="23"/>
        </w:rPr>
        <w:t xml:space="preserve">To better understand the relationship between age and poverty, </w:t>
      </w:r>
      <w:r w:rsidR="00EE69A5">
        <w:rPr>
          <w:rFonts w:ascii="Times New Roman" w:hAnsi="Times New Roman"/>
          <w:color w:val="auto"/>
          <w:sz w:val="23"/>
          <w:szCs w:val="23"/>
        </w:rPr>
        <w:t>the Berkeley Institute for the Future of Young Americans</w:t>
      </w:r>
      <w:r w:rsidRPr="00EE69A5">
        <w:rPr>
          <w:rFonts w:ascii="Times New Roman" w:hAnsi="Times New Roman"/>
          <w:color w:val="auto"/>
          <w:sz w:val="23"/>
          <w:szCs w:val="23"/>
        </w:rPr>
        <w:t xml:space="preserve"> </w:t>
      </w:r>
      <w:r w:rsidR="00EE69A5">
        <w:rPr>
          <w:rFonts w:ascii="Times New Roman" w:hAnsi="Times New Roman"/>
          <w:color w:val="auto"/>
          <w:sz w:val="23"/>
          <w:szCs w:val="23"/>
        </w:rPr>
        <w:t>analyzed</w:t>
      </w:r>
      <w:r w:rsidRPr="00EE69A5">
        <w:rPr>
          <w:rFonts w:ascii="Times New Roman" w:hAnsi="Times New Roman"/>
          <w:color w:val="auto"/>
          <w:sz w:val="23"/>
          <w:szCs w:val="23"/>
        </w:rPr>
        <w:t xml:space="preserve"> the evolution of poverty across the age distr</w:t>
      </w:r>
      <w:r w:rsidR="0052695A">
        <w:rPr>
          <w:rFonts w:ascii="Times New Roman" w:hAnsi="Times New Roman"/>
          <w:color w:val="auto"/>
          <w:sz w:val="23"/>
          <w:szCs w:val="23"/>
        </w:rPr>
        <w:t>ibution since the early 1970’s.</w:t>
      </w:r>
    </w:p>
    <w:p w14:paraId="669A8B9E" w14:textId="77777777" w:rsidR="00637554" w:rsidRDefault="00637554" w:rsidP="00637554">
      <w:pPr>
        <w:spacing w:after="60"/>
        <w:rPr>
          <w:rFonts w:ascii="Arial" w:hAnsi="Arial" w:cs="Arial"/>
          <w:b/>
          <w:color w:val="auto"/>
          <w:sz w:val="23"/>
          <w:szCs w:val="23"/>
        </w:rPr>
      </w:pPr>
      <w:r w:rsidRPr="00EE69A5">
        <w:rPr>
          <w:rFonts w:ascii="Arial" w:hAnsi="Arial" w:cs="Arial"/>
          <w:b/>
          <w:color w:val="auto"/>
          <w:sz w:val="23"/>
          <w:szCs w:val="23"/>
        </w:rPr>
        <w:t>Young adult poverty has worsened while poverty among other age groups has improved</w:t>
      </w:r>
    </w:p>
    <w:p w14:paraId="51EB1C91" w14:textId="77777777" w:rsidR="00EE69A5" w:rsidRPr="00EE69A5" w:rsidRDefault="00EE69A5" w:rsidP="00637554">
      <w:pPr>
        <w:spacing w:after="60"/>
        <w:rPr>
          <w:rFonts w:ascii="Arial" w:hAnsi="Arial" w:cs="Arial"/>
          <w:b/>
          <w:snapToGrid w:val="0"/>
          <w:color w:val="auto"/>
          <w:w w:val="0"/>
          <w:sz w:val="23"/>
          <w:szCs w:val="23"/>
          <w:u w:color="000000"/>
          <w:bdr w:val="none" w:sz="0" w:space="0" w:color="000000"/>
          <w:shd w:val="clear" w:color="000000" w:fill="000000"/>
          <w:lang w:eastAsia="x-none" w:bidi="x-none"/>
        </w:rPr>
      </w:pPr>
      <w:r>
        <w:rPr>
          <w:rFonts w:ascii="Arial" w:hAnsi="Arial" w:cs="Arial"/>
          <w:b/>
          <w:color w:val="auto"/>
          <w:sz w:val="23"/>
          <w:szCs w:val="23"/>
        </w:rPr>
        <w:t>Percent in Poverty (Historical Supplemental Poverty Measure)</w:t>
      </w:r>
    </w:p>
    <w:p w14:paraId="43B3BD4B" w14:textId="77777777" w:rsidR="00637554" w:rsidRPr="00EE69A5" w:rsidRDefault="00637554" w:rsidP="00CA6BEA">
      <w:pPr>
        <w:spacing w:after="120"/>
        <w:rPr>
          <w:rFonts w:ascii="Times New Roman" w:hAnsi="Times New Roman"/>
          <w:color w:val="auto"/>
          <w:sz w:val="23"/>
          <w:szCs w:val="23"/>
        </w:rPr>
      </w:pPr>
      <w:r w:rsidRPr="00EE69A5">
        <w:rPr>
          <w:rFonts w:ascii="Times New Roman" w:hAnsi="Times New Roman"/>
          <w:noProof/>
          <w:snapToGrid w:val="0"/>
          <w:color w:val="auto"/>
          <w:w w:val="0"/>
          <w:sz w:val="23"/>
          <w:szCs w:val="23"/>
          <w:u w:color="000000"/>
          <w:bdr w:val="none" w:sz="0" w:space="0" w:color="000000"/>
          <w:shd w:val="clear" w:color="000000" w:fill="000000"/>
        </w:rPr>
        <w:drawing>
          <wp:inline distT="0" distB="0" distL="0" distR="0" wp14:anchorId="55DA99C9" wp14:editId="3E4AA9BB">
            <wp:extent cx="6309360" cy="3903980"/>
            <wp:effectExtent l="0" t="0" r="0" b="1270"/>
            <wp:docPr id="10" name="Picture 10" descr="C:\Users\jamesohawkins\Box Sync\My Projects\Issue Papers\US Poverty\Images\Final\Figure2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mesohawkins\Box Sync\My Projects\Issue Papers\US Poverty\Images\Final\Figure2_150.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294" r="142" b="409"/>
                    <a:stretch/>
                  </pic:blipFill>
                  <pic:spPr bwMode="auto">
                    <a:xfrm>
                      <a:off x="0" y="0"/>
                      <a:ext cx="6338997" cy="3922318"/>
                    </a:xfrm>
                    <a:prstGeom prst="rect">
                      <a:avLst/>
                    </a:prstGeom>
                    <a:noFill/>
                    <a:ln>
                      <a:noFill/>
                    </a:ln>
                    <a:extLst>
                      <a:ext uri="{53640926-AAD7-44d8-BBD7-CCE9431645EC}">
                        <a14:shadowObscured xmlns:a14="http://schemas.microsoft.com/office/drawing/2010/main"/>
                      </a:ext>
                    </a:extLst>
                  </pic:spPr>
                </pic:pic>
              </a:graphicData>
            </a:graphic>
          </wp:inline>
        </w:drawing>
      </w:r>
    </w:p>
    <w:p w14:paraId="6171BF2F" w14:textId="77777777" w:rsidR="00312AF0" w:rsidRPr="00EE69A5" w:rsidRDefault="00312AF0" w:rsidP="00CA6BEA">
      <w:pPr>
        <w:spacing w:after="120"/>
        <w:ind w:right="90"/>
        <w:rPr>
          <w:rFonts w:ascii="Times New Roman" w:hAnsi="Times New Roman"/>
          <w:color w:val="auto"/>
          <w:sz w:val="23"/>
          <w:szCs w:val="23"/>
        </w:rPr>
      </w:pPr>
      <w:r w:rsidRPr="00EE69A5">
        <w:rPr>
          <w:rFonts w:ascii="Times New Roman" w:hAnsi="Times New Roman"/>
          <w:b/>
          <w:color w:val="auto"/>
          <w:sz w:val="23"/>
          <w:szCs w:val="23"/>
        </w:rPr>
        <w:t>A note on our methods:</w:t>
      </w:r>
      <w:r w:rsidRPr="00EE69A5">
        <w:rPr>
          <w:rFonts w:ascii="Times New Roman" w:hAnsi="Times New Roman"/>
          <w:color w:val="auto"/>
          <w:sz w:val="23"/>
          <w:szCs w:val="23"/>
        </w:rPr>
        <w:t xml:space="preserve"> we evaluate poverty over time and by age group </w:t>
      </w:r>
      <w:r w:rsidR="0052695A">
        <w:rPr>
          <w:rFonts w:ascii="Times New Roman" w:hAnsi="Times New Roman"/>
          <w:color w:val="auto"/>
          <w:sz w:val="23"/>
          <w:szCs w:val="23"/>
        </w:rPr>
        <w:t>using</w:t>
      </w:r>
      <w:r w:rsidR="0052695A" w:rsidRPr="00EE69A5">
        <w:rPr>
          <w:rFonts w:ascii="Times New Roman" w:hAnsi="Times New Roman"/>
          <w:color w:val="auto"/>
          <w:sz w:val="23"/>
          <w:szCs w:val="23"/>
        </w:rPr>
        <w:t xml:space="preserve"> the Supplemental Poverty Measure (SPM) and a Historical Supplemental Po</w:t>
      </w:r>
      <w:r w:rsidR="0052695A">
        <w:rPr>
          <w:rFonts w:ascii="Times New Roman" w:hAnsi="Times New Roman"/>
          <w:color w:val="auto"/>
          <w:sz w:val="23"/>
          <w:szCs w:val="23"/>
        </w:rPr>
        <w:t xml:space="preserve">verty Measure (Historical SPM). </w:t>
      </w:r>
      <w:r w:rsidRPr="00EE69A5">
        <w:rPr>
          <w:rFonts w:ascii="Times New Roman" w:hAnsi="Times New Roman"/>
          <w:color w:val="auto"/>
          <w:sz w:val="23"/>
          <w:szCs w:val="23"/>
        </w:rPr>
        <w:t>We pool years by business cycle using dates from the Natio</w:t>
      </w:r>
      <w:r w:rsidR="00916F77">
        <w:rPr>
          <w:rFonts w:ascii="Times New Roman" w:hAnsi="Times New Roman"/>
          <w:color w:val="auto"/>
          <w:sz w:val="23"/>
          <w:szCs w:val="23"/>
        </w:rPr>
        <w:t>nal Bureau of Economic Research.</w:t>
      </w:r>
    </w:p>
    <w:p w14:paraId="63C05F37" w14:textId="77777777" w:rsidR="00637554" w:rsidRPr="00EE69A5" w:rsidRDefault="00637554" w:rsidP="00637554">
      <w:pPr>
        <w:spacing w:after="120"/>
        <w:rPr>
          <w:rFonts w:ascii="Times New Roman" w:hAnsi="Times New Roman"/>
          <w:color w:val="auto"/>
          <w:sz w:val="23"/>
          <w:szCs w:val="23"/>
        </w:rPr>
      </w:pPr>
      <w:r w:rsidRPr="00EE69A5">
        <w:rPr>
          <w:rFonts w:ascii="Times New Roman" w:hAnsi="Times New Roman"/>
          <w:color w:val="auto"/>
          <w:sz w:val="23"/>
          <w:szCs w:val="23"/>
        </w:rPr>
        <w:lastRenderedPageBreak/>
        <w:t>We find that young adult poverty has increased since the early 1970’s and is currently among the highest fo</w:t>
      </w:r>
      <w:r w:rsidR="00F94152">
        <w:rPr>
          <w:rFonts w:ascii="Times New Roman" w:hAnsi="Times New Roman"/>
          <w:color w:val="auto"/>
          <w:sz w:val="23"/>
          <w:szCs w:val="23"/>
        </w:rPr>
        <w:t xml:space="preserve">r any age group. In the last </w:t>
      </w:r>
      <w:r w:rsidRPr="00EE69A5">
        <w:rPr>
          <w:rFonts w:ascii="Times New Roman" w:hAnsi="Times New Roman"/>
          <w:color w:val="auto"/>
          <w:sz w:val="23"/>
          <w:szCs w:val="23"/>
        </w:rPr>
        <w:t>40</w:t>
      </w:r>
      <w:r w:rsidR="00F94152">
        <w:rPr>
          <w:rFonts w:ascii="Times New Roman" w:hAnsi="Times New Roman"/>
          <w:color w:val="auto"/>
          <w:sz w:val="23"/>
          <w:szCs w:val="23"/>
        </w:rPr>
        <w:t>-50</w:t>
      </w:r>
      <w:r w:rsidRPr="00EE69A5">
        <w:rPr>
          <w:rFonts w:ascii="Times New Roman" w:hAnsi="Times New Roman"/>
          <w:color w:val="auto"/>
          <w:sz w:val="23"/>
          <w:szCs w:val="23"/>
        </w:rPr>
        <w:t xml:space="preserve"> years, anti-poverty efforts have lowered child poverty and elderly poverty, but have done much less to reduce poverty among young adults.</w:t>
      </w:r>
    </w:p>
    <w:p w14:paraId="6611A575" w14:textId="77777777" w:rsidR="00312AF0" w:rsidRPr="00EE69A5" w:rsidRDefault="00312AF0" w:rsidP="0097260D">
      <w:pPr>
        <w:spacing w:after="120"/>
        <w:rPr>
          <w:rFonts w:ascii="Times New Roman" w:hAnsi="Times New Roman"/>
          <w:color w:val="auto"/>
          <w:sz w:val="23"/>
          <w:szCs w:val="23"/>
        </w:rPr>
      </w:pPr>
      <w:r w:rsidRPr="00EA1E9B">
        <w:rPr>
          <w:rFonts w:ascii="Times New Roman" w:hAnsi="Times New Roman"/>
          <w:color w:val="auto"/>
          <w:sz w:val="23"/>
          <w:szCs w:val="23"/>
        </w:rPr>
        <w:t>The spike in young adult poverty only formed in recent decades.</w:t>
      </w:r>
      <w:r w:rsidRPr="00EA1E9B">
        <w:rPr>
          <w:rFonts w:ascii="Times New Roman" w:hAnsi="Times New Roman"/>
          <w:color w:val="auto"/>
          <w:sz w:val="23"/>
          <w:szCs w:val="23"/>
          <w:vertAlign w:val="superscript"/>
        </w:rPr>
        <w:endnoteReference w:id="1"/>
      </w:r>
      <w:r w:rsidRPr="00EA1E9B">
        <w:rPr>
          <w:rFonts w:ascii="Times New Roman" w:hAnsi="Times New Roman"/>
          <w:color w:val="auto"/>
          <w:sz w:val="23"/>
          <w:szCs w:val="23"/>
        </w:rPr>
        <w:t xml:space="preserve"> While earlier years showed a relatively small increase in poverty at 18 years old, the 2008-2015 spike covers more young adults, according to data from the Historical SPM. </w:t>
      </w:r>
      <w:r w:rsidRPr="00F12975">
        <w:rPr>
          <w:rFonts w:ascii="Times New Roman" w:hAnsi="Times New Roman"/>
          <w:color w:val="auto"/>
          <w:sz w:val="23"/>
          <w:szCs w:val="23"/>
        </w:rPr>
        <w:t>Poverty among 19-24-year-olds has increased since the early 1970’s.</w:t>
      </w:r>
      <w:r w:rsidRPr="00F12975">
        <w:rPr>
          <w:rFonts w:ascii="Times New Roman" w:hAnsi="Times New Roman"/>
          <w:color w:val="auto"/>
          <w:sz w:val="23"/>
          <w:szCs w:val="23"/>
          <w:vertAlign w:val="superscript"/>
        </w:rPr>
        <w:endnoteReference w:id="2"/>
      </w:r>
      <w:r w:rsidRPr="00F12975">
        <w:rPr>
          <w:rFonts w:ascii="Times New Roman" w:hAnsi="Times New Roman"/>
          <w:color w:val="auto"/>
          <w:sz w:val="23"/>
          <w:szCs w:val="23"/>
        </w:rPr>
        <w:t xml:space="preserve"> The increase in young adult poverty is</w:t>
      </w:r>
      <w:r w:rsidRPr="00EE69A5">
        <w:rPr>
          <w:rFonts w:ascii="Times New Roman" w:hAnsi="Times New Roman"/>
          <w:color w:val="auto"/>
          <w:sz w:val="23"/>
          <w:szCs w:val="23"/>
        </w:rPr>
        <w:t xml:space="preserve"> especially notable, given the progress during the same period in bringing down poverty ra</w:t>
      </w:r>
      <w:r w:rsidR="00F12975">
        <w:rPr>
          <w:rFonts w:ascii="Times New Roman" w:hAnsi="Times New Roman"/>
          <w:color w:val="auto"/>
          <w:sz w:val="23"/>
          <w:szCs w:val="23"/>
        </w:rPr>
        <w:t xml:space="preserve">tes among children and seniors. </w:t>
      </w:r>
    </w:p>
    <w:p w14:paraId="4E056999" w14:textId="77777777" w:rsidR="00312AF0" w:rsidRPr="00345EE4" w:rsidRDefault="00F12975" w:rsidP="0097260D">
      <w:pPr>
        <w:spacing w:after="120"/>
        <w:rPr>
          <w:rFonts w:ascii="Times New Roman" w:hAnsi="Times New Roman"/>
          <w:color w:val="auto"/>
          <w:spacing w:val="-1"/>
          <w:sz w:val="23"/>
          <w:szCs w:val="23"/>
          <w:shd w:val="clear" w:color="auto" w:fill="FFFFFF"/>
        </w:rPr>
      </w:pPr>
      <w:r w:rsidRPr="00F12975">
        <w:rPr>
          <w:rFonts w:ascii="Times New Roman" w:hAnsi="Times New Roman"/>
          <w:color w:val="auto"/>
          <w:sz w:val="23"/>
          <w:szCs w:val="23"/>
        </w:rPr>
        <w:t xml:space="preserve">The social safety net </w:t>
      </w:r>
      <w:r w:rsidR="00312AF0" w:rsidRPr="00F12975">
        <w:rPr>
          <w:rFonts w:ascii="Times New Roman" w:hAnsi="Times New Roman"/>
          <w:color w:val="auto"/>
          <w:sz w:val="23"/>
          <w:szCs w:val="23"/>
        </w:rPr>
        <w:t>has had the greatest impact on poverty among the youngest and oldest.</w:t>
      </w:r>
      <w:r w:rsidR="00312AF0" w:rsidRPr="00EE69A5">
        <w:rPr>
          <w:rFonts w:ascii="Times New Roman" w:hAnsi="Times New Roman"/>
          <w:b/>
          <w:color w:val="auto"/>
          <w:sz w:val="23"/>
          <w:szCs w:val="23"/>
        </w:rPr>
        <w:t xml:space="preserve"> </w:t>
      </w:r>
      <w:r>
        <w:rPr>
          <w:rFonts w:ascii="Times New Roman" w:hAnsi="Times New Roman"/>
          <w:color w:val="auto"/>
          <w:sz w:val="23"/>
          <w:szCs w:val="23"/>
        </w:rPr>
        <w:t>W</w:t>
      </w:r>
      <w:r w:rsidR="00312AF0" w:rsidRPr="00EE69A5">
        <w:rPr>
          <w:rFonts w:ascii="Times New Roman" w:hAnsi="Times New Roman"/>
          <w:color w:val="auto"/>
          <w:sz w:val="23"/>
          <w:szCs w:val="23"/>
        </w:rPr>
        <w:t>orking-age individuals benefit comparatively less from the social safety net. Assuming people make no behavioral adjustments in response to receiving benefits, the social safety net reduces poverty 10.3 percentage points for newborns and a full 45.5 percentage points for individuals age 75 or older. In stark contrast, the social safety net reduces poverty by only 4.8 percentage points for 21-year-olds.</w:t>
      </w:r>
    </w:p>
    <w:p w14:paraId="40B0E23B" w14:textId="77777777" w:rsidR="00312AF0" w:rsidRPr="00345EE4" w:rsidRDefault="00F12975" w:rsidP="0052695A">
      <w:pPr>
        <w:spacing w:after="120"/>
        <w:rPr>
          <w:rFonts w:ascii="Times New Roman" w:hAnsi="Times New Roman"/>
          <w:color w:val="auto"/>
          <w:sz w:val="23"/>
          <w:szCs w:val="23"/>
        </w:rPr>
      </w:pPr>
      <w:r w:rsidRPr="00345EE4">
        <w:rPr>
          <w:rFonts w:ascii="Times New Roman" w:hAnsi="Times New Roman"/>
          <w:color w:val="auto"/>
          <w:spacing w:val="-1"/>
          <w:sz w:val="23"/>
          <w:szCs w:val="23"/>
          <w:shd w:val="clear" w:color="auto" w:fill="FFFFFF"/>
        </w:rPr>
        <w:t>These trends</w:t>
      </w:r>
      <w:r w:rsidR="00312AF0" w:rsidRPr="00345EE4">
        <w:rPr>
          <w:rFonts w:ascii="Times New Roman" w:hAnsi="Times New Roman"/>
          <w:color w:val="auto"/>
          <w:sz w:val="23"/>
          <w:szCs w:val="23"/>
        </w:rPr>
        <w:t xml:space="preserve"> tell an important story: today, young adults have among the highest poverty rates, relative to the rest of the age distribution. But the descriptive analysis only tells us so much. What</w:t>
      </w:r>
      <w:r w:rsidR="00312AF0" w:rsidRPr="00345EE4">
        <w:rPr>
          <w:rFonts w:ascii="Times New Roman" w:hAnsi="Times New Roman"/>
          <w:i/>
          <w:color w:val="auto"/>
          <w:sz w:val="23"/>
          <w:szCs w:val="23"/>
        </w:rPr>
        <w:t xml:space="preserve"> </w:t>
      </w:r>
      <w:r w:rsidR="00312AF0" w:rsidRPr="00345EE4">
        <w:rPr>
          <w:rFonts w:ascii="Times New Roman" w:hAnsi="Times New Roman"/>
          <w:color w:val="auto"/>
          <w:sz w:val="23"/>
          <w:szCs w:val="23"/>
        </w:rPr>
        <w:t>are the important social and economic forces driving these chang</w:t>
      </w:r>
      <w:r w:rsidR="0052695A" w:rsidRPr="00345EE4">
        <w:rPr>
          <w:rFonts w:ascii="Times New Roman" w:hAnsi="Times New Roman"/>
          <w:color w:val="auto"/>
          <w:sz w:val="23"/>
          <w:szCs w:val="23"/>
        </w:rPr>
        <w:t>es?</w:t>
      </w:r>
      <w:r w:rsidR="00312AF0" w:rsidRPr="00345EE4">
        <w:rPr>
          <w:rFonts w:ascii="Times New Roman" w:hAnsi="Times New Roman"/>
          <w:b/>
          <w:color w:val="auto"/>
          <w:spacing w:val="-1"/>
          <w:sz w:val="23"/>
          <w:szCs w:val="23"/>
          <w:shd w:val="clear" w:color="auto" w:fill="FFFFFF"/>
        </w:rPr>
        <w:t xml:space="preserve"> </w:t>
      </w:r>
      <w:r w:rsidR="00312AF0" w:rsidRPr="00345EE4">
        <w:rPr>
          <w:rFonts w:ascii="Times New Roman" w:hAnsi="Times New Roman"/>
          <w:color w:val="auto"/>
          <w:sz w:val="23"/>
          <w:szCs w:val="23"/>
        </w:rPr>
        <w:t>In the last fifty years, the U.S. economy has produced a labor market yielding unfavorable returns for the average worker, particularly those without college degrees.</w:t>
      </w:r>
      <w:r w:rsidR="00312AF0" w:rsidRPr="00345EE4">
        <w:rPr>
          <w:rStyle w:val="EndnoteReference"/>
          <w:rFonts w:ascii="Times New Roman" w:hAnsi="Times New Roman"/>
          <w:color w:val="auto"/>
          <w:sz w:val="23"/>
          <w:szCs w:val="23"/>
        </w:rPr>
        <w:endnoteReference w:id="3"/>
      </w:r>
      <w:r w:rsidR="00312AF0" w:rsidRPr="00345EE4">
        <w:rPr>
          <w:rFonts w:ascii="Times New Roman" w:hAnsi="Times New Roman"/>
          <w:color w:val="auto"/>
          <w:sz w:val="23"/>
          <w:szCs w:val="23"/>
        </w:rPr>
        <w:t xml:space="preserve"> Young adults, by virtue of being young, are more susceptible to the challenges facing low skill labor. They lack the labor market experience and human capital that can develop with age.</w:t>
      </w:r>
      <w:r w:rsidR="0052695A" w:rsidRPr="00345EE4">
        <w:rPr>
          <w:rFonts w:ascii="Times New Roman" w:hAnsi="Times New Roman"/>
          <w:color w:val="auto"/>
          <w:sz w:val="23"/>
          <w:szCs w:val="23"/>
        </w:rPr>
        <w:t xml:space="preserve"> </w:t>
      </w:r>
      <w:r w:rsidR="00312AF0" w:rsidRPr="00345EE4">
        <w:rPr>
          <w:rFonts w:ascii="Times New Roman" w:hAnsi="Times New Roman"/>
          <w:color w:val="auto"/>
          <w:sz w:val="23"/>
          <w:szCs w:val="23"/>
        </w:rPr>
        <w:t xml:space="preserve">Young, working-age adults </w:t>
      </w:r>
      <w:r w:rsidR="00345EE4">
        <w:rPr>
          <w:rFonts w:ascii="Times New Roman" w:hAnsi="Times New Roman"/>
          <w:color w:val="auto"/>
          <w:sz w:val="23"/>
          <w:szCs w:val="23"/>
        </w:rPr>
        <w:t xml:space="preserve">have also </w:t>
      </w:r>
      <w:r w:rsidR="00312AF0" w:rsidRPr="00345EE4">
        <w:rPr>
          <w:rFonts w:ascii="Times New Roman" w:hAnsi="Times New Roman"/>
          <w:color w:val="auto"/>
          <w:sz w:val="23"/>
          <w:szCs w:val="23"/>
        </w:rPr>
        <w:t xml:space="preserve">largely been deprioritized from expansions in the social safety net. Some types of government assistance have helped young adults, with that amount increasing over time. For example, without government support through the EITC, poverty among young adults would be even worse than it is now. However, there is a stark difference between the impact of the EITC (and other government assistance) on youth versus young adults. In 2008-2015, government tax and transfer policies brought 17-year-old poverty down by an average of nearly double what it did for 21-year-olds, 9.1 percentage points and 4.8 percentage points, respectively. </w:t>
      </w:r>
    </w:p>
    <w:p w14:paraId="5CE3CE7E" w14:textId="77777777" w:rsidR="00312AF0" w:rsidRPr="00EE69A5" w:rsidRDefault="00312AF0" w:rsidP="00312AF0">
      <w:pPr>
        <w:rPr>
          <w:rFonts w:ascii="Times New Roman" w:hAnsi="Times New Roman"/>
          <w:color w:val="auto"/>
          <w:sz w:val="23"/>
          <w:szCs w:val="23"/>
        </w:rPr>
      </w:pPr>
    </w:p>
    <w:p w14:paraId="2A75A88B" w14:textId="77777777" w:rsidR="00312AF0" w:rsidRPr="00EE69A5" w:rsidRDefault="00312AF0" w:rsidP="00312AF0">
      <w:pPr>
        <w:rPr>
          <w:rFonts w:ascii="Times New Roman" w:hAnsi="Times New Roman"/>
          <w:color w:val="auto"/>
          <w:sz w:val="23"/>
          <w:szCs w:val="23"/>
        </w:rPr>
      </w:pPr>
    </w:p>
    <w:p w14:paraId="7ECF9E21" w14:textId="77777777" w:rsidR="00312AF0" w:rsidRPr="00EE69A5" w:rsidRDefault="00312AF0" w:rsidP="00312AF0">
      <w:pPr>
        <w:rPr>
          <w:rFonts w:ascii="Times New Roman" w:hAnsi="Times New Roman"/>
          <w:color w:val="auto"/>
          <w:sz w:val="23"/>
          <w:szCs w:val="23"/>
        </w:rPr>
      </w:pPr>
    </w:p>
    <w:p w14:paraId="7DF25CAF" w14:textId="77777777" w:rsidR="00E95E0E" w:rsidRPr="00EE69A5" w:rsidRDefault="00E95E0E" w:rsidP="00312AF0">
      <w:pPr>
        <w:rPr>
          <w:rFonts w:ascii="Times New Roman" w:hAnsi="Times New Roman"/>
          <w:color w:val="auto"/>
          <w:sz w:val="23"/>
          <w:szCs w:val="23"/>
        </w:rPr>
      </w:pPr>
    </w:p>
    <w:sectPr w:rsidR="00E95E0E" w:rsidRPr="00EE69A5" w:rsidSect="00BF5133">
      <w:headerReference w:type="default" r:id="rId9"/>
      <w:type w:val="continuous"/>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012DF" w14:textId="77777777" w:rsidR="00FE5739" w:rsidRDefault="00FE5739" w:rsidP="00E95E0E">
      <w:r>
        <w:separator/>
      </w:r>
    </w:p>
  </w:endnote>
  <w:endnote w:type="continuationSeparator" w:id="0">
    <w:p w14:paraId="349BFBD9" w14:textId="77777777" w:rsidR="00FE5739" w:rsidRDefault="00FE5739" w:rsidP="00E95E0E">
      <w:r>
        <w:continuationSeparator/>
      </w:r>
    </w:p>
  </w:endnote>
  <w:endnote w:id="1">
    <w:p w14:paraId="3492E3D1" w14:textId="77777777" w:rsidR="00312AF0" w:rsidRPr="00F12975" w:rsidRDefault="00312AF0" w:rsidP="00312AF0">
      <w:pPr>
        <w:rPr>
          <w:rFonts w:ascii="Times New Roman" w:hAnsi="Times New Roman"/>
          <w:color w:val="auto"/>
          <w:sz w:val="20"/>
        </w:rPr>
      </w:pPr>
      <w:r w:rsidRPr="00F12975">
        <w:rPr>
          <w:rStyle w:val="EndnoteReference"/>
          <w:rFonts w:ascii="Times New Roman" w:hAnsi="Times New Roman"/>
          <w:color w:val="auto"/>
          <w:sz w:val="20"/>
        </w:rPr>
        <w:endnoteRef/>
      </w:r>
      <w:r w:rsidRPr="00F12975">
        <w:rPr>
          <w:rFonts w:ascii="Times New Roman" w:hAnsi="Times New Roman"/>
          <w:color w:val="auto"/>
          <w:sz w:val="20"/>
        </w:rPr>
        <w:t xml:space="preserve"> The Historic SPM employs similar methodology as the original SPM, but extends it to earlier decades via various data sources and imputation methods. For more information, see: Fox, Liana, Christopher </w:t>
      </w:r>
      <w:proofErr w:type="spellStart"/>
      <w:r w:rsidRPr="00F12975">
        <w:rPr>
          <w:rFonts w:ascii="Times New Roman" w:hAnsi="Times New Roman"/>
          <w:color w:val="auto"/>
          <w:sz w:val="20"/>
        </w:rPr>
        <w:t>Wimer</w:t>
      </w:r>
      <w:proofErr w:type="spellEnd"/>
      <w:r w:rsidRPr="00F12975">
        <w:rPr>
          <w:rFonts w:ascii="Times New Roman" w:hAnsi="Times New Roman"/>
          <w:color w:val="auto"/>
          <w:sz w:val="20"/>
        </w:rPr>
        <w:t xml:space="preserve">, Irwin </w:t>
      </w:r>
      <w:proofErr w:type="spellStart"/>
      <w:r w:rsidRPr="00F12975">
        <w:rPr>
          <w:rFonts w:ascii="Times New Roman" w:hAnsi="Times New Roman"/>
          <w:color w:val="auto"/>
          <w:sz w:val="20"/>
        </w:rPr>
        <w:t>Garfinkel</w:t>
      </w:r>
      <w:proofErr w:type="spellEnd"/>
      <w:r w:rsidRPr="00F12975">
        <w:rPr>
          <w:rFonts w:ascii="Times New Roman" w:hAnsi="Times New Roman"/>
          <w:color w:val="auto"/>
          <w:sz w:val="20"/>
        </w:rPr>
        <w:t xml:space="preserve">, </w:t>
      </w:r>
      <w:proofErr w:type="spellStart"/>
      <w:r w:rsidRPr="00F12975">
        <w:rPr>
          <w:rFonts w:ascii="Times New Roman" w:hAnsi="Times New Roman"/>
          <w:color w:val="auto"/>
          <w:sz w:val="20"/>
        </w:rPr>
        <w:t>Neeraj</w:t>
      </w:r>
      <w:proofErr w:type="spellEnd"/>
      <w:r w:rsidRPr="00F12975">
        <w:rPr>
          <w:rFonts w:ascii="Times New Roman" w:hAnsi="Times New Roman"/>
          <w:color w:val="auto"/>
          <w:sz w:val="20"/>
        </w:rPr>
        <w:t xml:space="preserve"> </w:t>
      </w:r>
      <w:proofErr w:type="spellStart"/>
      <w:r w:rsidRPr="00F12975">
        <w:rPr>
          <w:rFonts w:ascii="Times New Roman" w:hAnsi="Times New Roman"/>
          <w:color w:val="auto"/>
          <w:sz w:val="20"/>
        </w:rPr>
        <w:t>Kaushal</w:t>
      </w:r>
      <w:proofErr w:type="spellEnd"/>
      <w:r w:rsidRPr="00F12975">
        <w:rPr>
          <w:rFonts w:ascii="Times New Roman" w:hAnsi="Times New Roman"/>
          <w:color w:val="auto"/>
          <w:sz w:val="20"/>
        </w:rPr>
        <w:t xml:space="preserve">, and Jane </w:t>
      </w:r>
      <w:proofErr w:type="spellStart"/>
      <w:r w:rsidRPr="00F12975">
        <w:rPr>
          <w:rFonts w:ascii="Times New Roman" w:hAnsi="Times New Roman"/>
          <w:color w:val="auto"/>
          <w:sz w:val="20"/>
        </w:rPr>
        <w:t>Waldfogel</w:t>
      </w:r>
      <w:proofErr w:type="spellEnd"/>
      <w:r w:rsidRPr="00F12975">
        <w:rPr>
          <w:rFonts w:ascii="Times New Roman" w:hAnsi="Times New Roman"/>
          <w:color w:val="auto"/>
          <w:sz w:val="20"/>
        </w:rPr>
        <w:t xml:space="preserve">. 2015. “Waging War on Poverty: Poverty Trends Using a Historical Supplemental Poverty Measure.” </w:t>
      </w:r>
      <w:r w:rsidRPr="00F12975">
        <w:rPr>
          <w:rFonts w:ascii="Times New Roman" w:hAnsi="Times New Roman"/>
          <w:i/>
          <w:color w:val="auto"/>
          <w:sz w:val="20"/>
        </w:rPr>
        <w:t>Journal of Policy Analysis and Management</w:t>
      </w:r>
      <w:r w:rsidRPr="00F12975">
        <w:rPr>
          <w:rFonts w:ascii="Times New Roman" w:hAnsi="Times New Roman"/>
          <w:color w:val="auto"/>
          <w:sz w:val="20"/>
        </w:rPr>
        <w:t xml:space="preserve"> 34, no. 3: 567–92. </w:t>
      </w:r>
    </w:p>
  </w:endnote>
  <w:endnote w:id="2">
    <w:p w14:paraId="023AA8FD" w14:textId="77777777" w:rsidR="00312AF0" w:rsidRPr="00F12975" w:rsidRDefault="00312AF0" w:rsidP="00312AF0">
      <w:pPr>
        <w:pStyle w:val="EndnoteText"/>
        <w:rPr>
          <w:rFonts w:ascii="Times New Roman" w:hAnsi="Times New Roman" w:cs="Times New Roman"/>
        </w:rPr>
      </w:pPr>
      <w:r w:rsidRPr="00F12975">
        <w:rPr>
          <w:rStyle w:val="EndnoteReference"/>
          <w:rFonts w:ascii="Times New Roman" w:hAnsi="Times New Roman" w:cs="Times New Roman"/>
        </w:rPr>
        <w:endnoteRef/>
      </w:r>
      <w:r w:rsidRPr="00F12975">
        <w:rPr>
          <w:rFonts w:ascii="Times New Roman" w:hAnsi="Times New Roman" w:cs="Times New Roman"/>
        </w:rPr>
        <w:t xml:space="preserve"> While the difference is less pronounced relative to 1967-1969, which encompass the earliest years of available data, we highlight the early 1970’s as the primary comparison group because it encompasses the earliest complete business cycle for which data is readily available.</w:t>
      </w:r>
    </w:p>
  </w:endnote>
  <w:endnote w:id="3">
    <w:p w14:paraId="1F71A025" w14:textId="77777777" w:rsidR="00312AF0" w:rsidRPr="00F12975" w:rsidRDefault="00312AF0" w:rsidP="00312AF0">
      <w:pPr>
        <w:pStyle w:val="Heading1"/>
        <w:shd w:val="clear" w:color="auto" w:fill="FFFFFF"/>
        <w:spacing w:before="0" w:line="240" w:lineRule="auto"/>
        <w:rPr>
          <w:rFonts w:ascii="Times New Roman" w:eastAsia="Times New Roman" w:hAnsi="Times New Roman" w:cs="Times New Roman"/>
          <w:color w:val="auto"/>
          <w:kern w:val="36"/>
          <w:sz w:val="20"/>
          <w:szCs w:val="20"/>
        </w:rPr>
      </w:pPr>
      <w:r w:rsidRPr="00F12975">
        <w:rPr>
          <w:rStyle w:val="EndnoteReference"/>
          <w:rFonts w:ascii="Times New Roman" w:hAnsi="Times New Roman" w:cs="Times New Roman"/>
          <w:color w:val="auto"/>
          <w:sz w:val="20"/>
          <w:szCs w:val="20"/>
        </w:rPr>
        <w:endnoteRef/>
      </w:r>
      <w:r w:rsidRPr="00F12975">
        <w:rPr>
          <w:rFonts w:ascii="Times New Roman" w:hAnsi="Times New Roman" w:cs="Times New Roman"/>
          <w:color w:val="auto"/>
          <w:sz w:val="20"/>
          <w:szCs w:val="20"/>
        </w:rPr>
        <w:t xml:space="preserve"> </w:t>
      </w:r>
      <w:proofErr w:type="spellStart"/>
      <w:r w:rsidRPr="00F12975">
        <w:rPr>
          <w:rFonts w:ascii="Times New Roman" w:hAnsi="Times New Roman" w:cs="Times New Roman"/>
          <w:color w:val="auto"/>
          <w:sz w:val="20"/>
          <w:szCs w:val="20"/>
        </w:rPr>
        <w:t>Autor</w:t>
      </w:r>
      <w:proofErr w:type="spellEnd"/>
      <w:r w:rsidRPr="00F12975">
        <w:rPr>
          <w:rFonts w:ascii="Times New Roman" w:hAnsi="Times New Roman" w:cs="Times New Roman"/>
          <w:color w:val="auto"/>
          <w:sz w:val="20"/>
          <w:szCs w:val="20"/>
        </w:rPr>
        <w:t>, David. “</w:t>
      </w:r>
      <w:r w:rsidRPr="00F12975">
        <w:rPr>
          <w:rFonts w:ascii="Times New Roman" w:eastAsia="Times New Roman" w:hAnsi="Times New Roman" w:cs="Times New Roman"/>
          <w:color w:val="auto"/>
          <w:kern w:val="36"/>
          <w:sz w:val="20"/>
          <w:szCs w:val="20"/>
        </w:rPr>
        <w:t xml:space="preserve">Skills, education, and the rise of earnings inequality among the ‘other 99 percent.’” </w:t>
      </w:r>
      <w:r w:rsidRPr="00F12975">
        <w:rPr>
          <w:rFonts w:ascii="Times New Roman" w:eastAsia="Times New Roman" w:hAnsi="Times New Roman" w:cs="Times New Roman"/>
          <w:i/>
          <w:color w:val="auto"/>
          <w:kern w:val="36"/>
          <w:sz w:val="20"/>
          <w:szCs w:val="20"/>
        </w:rPr>
        <w:t>Science</w:t>
      </w:r>
      <w:r w:rsidRPr="00F12975">
        <w:rPr>
          <w:rFonts w:ascii="Times New Roman" w:eastAsia="Times New Roman" w:hAnsi="Times New Roman" w:cs="Times New Roman"/>
          <w:color w:val="auto"/>
          <w:kern w:val="36"/>
          <w:sz w:val="20"/>
          <w:szCs w:val="20"/>
        </w:rPr>
        <w:t xml:space="preserve"> 344, no. 6186: 843-851.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FreightNeo Pro Black">
    <w:altName w:val="Calibri"/>
    <w:panose1 w:val="00000000000000000000"/>
    <w:charset w:val="00"/>
    <w:family w:val="modern"/>
    <w:notTrueType/>
    <w:pitch w:val="variable"/>
    <w:sig w:usb0="A00000AF" w:usb1="5000044B" w:usb2="00000000" w:usb3="00000000" w:csb0="00000093"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959F3" w14:textId="77777777" w:rsidR="00312AF0" w:rsidRPr="005C5BCD" w:rsidRDefault="00EE69A5" w:rsidP="00EE69A5">
    <w:pPr>
      <w:pStyle w:val="Footer"/>
      <w:spacing w:before="240"/>
      <w:rPr>
        <w:rFonts w:ascii="FreightNeo Pro Black" w:hAnsi="FreightNeo Pro Black"/>
        <w:color w:val="46535E"/>
      </w:rPr>
    </w:pPr>
    <w:r w:rsidRPr="005C5BCD">
      <w:rPr>
        <w:rFonts w:ascii="FreightNeo Pro Black" w:hAnsi="FreightNeo Pro Black"/>
        <w:color w:val="46535E"/>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E527C" w14:textId="77777777" w:rsidR="00FE5739" w:rsidRDefault="00FE5739" w:rsidP="00E95E0E">
      <w:r>
        <w:separator/>
      </w:r>
    </w:p>
  </w:footnote>
  <w:footnote w:type="continuationSeparator" w:id="0">
    <w:p w14:paraId="53AE6C53" w14:textId="77777777" w:rsidR="00FE5739" w:rsidRDefault="00FE5739" w:rsidP="00E95E0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A1240" w14:textId="77777777" w:rsidR="00966A34" w:rsidRDefault="00F56901" w:rsidP="00E81ECA">
    <w:pPr>
      <w:pStyle w:val="Header"/>
      <w:spacing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2B2"/>
    <w:rsid w:val="00095831"/>
    <w:rsid w:val="002E00B3"/>
    <w:rsid w:val="002E3CD0"/>
    <w:rsid w:val="00312AF0"/>
    <w:rsid w:val="00345EE4"/>
    <w:rsid w:val="004835C7"/>
    <w:rsid w:val="0049038B"/>
    <w:rsid w:val="005062B2"/>
    <w:rsid w:val="0052695A"/>
    <w:rsid w:val="00533A38"/>
    <w:rsid w:val="00637554"/>
    <w:rsid w:val="007467BF"/>
    <w:rsid w:val="007542E3"/>
    <w:rsid w:val="007E4A07"/>
    <w:rsid w:val="008C5EE7"/>
    <w:rsid w:val="00916F77"/>
    <w:rsid w:val="0097260D"/>
    <w:rsid w:val="00B821ED"/>
    <w:rsid w:val="00C004F6"/>
    <w:rsid w:val="00CA6BEA"/>
    <w:rsid w:val="00DB0420"/>
    <w:rsid w:val="00E95E0E"/>
    <w:rsid w:val="00EA1E9B"/>
    <w:rsid w:val="00EE69A5"/>
    <w:rsid w:val="00F12975"/>
    <w:rsid w:val="00F94152"/>
    <w:rsid w:val="00FE5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C85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E0E"/>
    <w:pPr>
      <w:spacing w:after="0" w:line="240" w:lineRule="auto"/>
    </w:pPr>
    <w:rPr>
      <w:rFonts w:ascii="Trebuchet MS" w:eastAsia="Times New Roman" w:hAnsi="Trebuchet MS" w:cs="Times New Roman"/>
      <w:color w:val="000000"/>
      <w:sz w:val="24"/>
      <w:szCs w:val="20"/>
    </w:rPr>
  </w:style>
  <w:style w:type="paragraph" w:styleId="Heading1">
    <w:name w:val="heading 1"/>
    <w:basedOn w:val="Normal"/>
    <w:next w:val="Normal"/>
    <w:link w:val="Heading1Char"/>
    <w:uiPriority w:val="9"/>
    <w:qFormat/>
    <w:rsid w:val="00312AF0"/>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95E0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link w:val="Style1Char"/>
    <w:qFormat/>
    <w:rsid w:val="00E95E0E"/>
    <w:pPr>
      <w:keepLines w:val="0"/>
      <w:spacing w:before="0" w:after="40"/>
    </w:pPr>
    <w:rPr>
      <w:rFonts w:ascii="Century Gothic" w:eastAsia="Times New Roman" w:hAnsi="Century Gothic" w:cs="Arial"/>
      <w:b/>
      <w:color w:val="FFC000" w:themeColor="accent4"/>
      <w:sz w:val="24"/>
      <w:szCs w:val="32"/>
    </w:rPr>
  </w:style>
  <w:style w:type="character" w:customStyle="1" w:styleId="Style1Char">
    <w:name w:val="Style1 Char"/>
    <w:basedOn w:val="Heading2Char"/>
    <w:link w:val="Style1"/>
    <w:rsid w:val="00E95E0E"/>
    <w:rPr>
      <w:rFonts w:ascii="Century Gothic" w:eastAsia="Times New Roman" w:hAnsi="Century Gothic" w:cs="Arial"/>
      <w:b/>
      <w:color w:val="FFC000" w:themeColor="accent4"/>
      <w:sz w:val="24"/>
      <w:szCs w:val="32"/>
    </w:rPr>
  </w:style>
  <w:style w:type="character" w:customStyle="1" w:styleId="Heading2Char">
    <w:name w:val="Heading 2 Char"/>
    <w:basedOn w:val="DefaultParagraphFont"/>
    <w:link w:val="Heading2"/>
    <w:uiPriority w:val="9"/>
    <w:semiHidden/>
    <w:rsid w:val="00E95E0E"/>
    <w:rPr>
      <w:rFonts w:asciiTheme="majorHAnsi" w:eastAsiaTheme="majorEastAsia" w:hAnsiTheme="majorHAnsi" w:cstheme="majorBidi"/>
      <w:color w:val="2E74B5" w:themeColor="accent1" w:themeShade="BF"/>
      <w:sz w:val="26"/>
      <w:szCs w:val="26"/>
    </w:rPr>
  </w:style>
  <w:style w:type="paragraph" w:customStyle="1" w:styleId="Style2">
    <w:name w:val="Style2"/>
    <w:basedOn w:val="Normal"/>
    <w:link w:val="Style2Char"/>
    <w:qFormat/>
    <w:rsid w:val="00E95E0E"/>
    <w:rPr>
      <w:rFonts w:ascii="Century Gothic" w:hAnsi="Century Gothic"/>
      <w:b/>
      <w:noProof/>
      <w:color w:val="A5A5A5" w:themeColor="accent3"/>
      <w:sz w:val="36"/>
    </w:rPr>
  </w:style>
  <w:style w:type="character" w:customStyle="1" w:styleId="Style2Char">
    <w:name w:val="Style2 Char"/>
    <w:basedOn w:val="DefaultParagraphFont"/>
    <w:link w:val="Style2"/>
    <w:rsid w:val="00E95E0E"/>
    <w:rPr>
      <w:rFonts w:ascii="Century Gothic" w:eastAsia="Times New Roman" w:hAnsi="Century Gothic" w:cs="Times New Roman"/>
      <w:b/>
      <w:noProof/>
      <w:color w:val="A5A5A5" w:themeColor="accent3"/>
      <w:sz w:val="36"/>
      <w:szCs w:val="20"/>
    </w:rPr>
  </w:style>
  <w:style w:type="paragraph" w:styleId="Footer">
    <w:name w:val="footer"/>
    <w:basedOn w:val="Normal"/>
    <w:link w:val="FooterChar"/>
    <w:uiPriority w:val="99"/>
    <w:rsid w:val="00E95E0E"/>
    <w:pPr>
      <w:tabs>
        <w:tab w:val="center" w:pos="4320"/>
        <w:tab w:val="right" w:pos="8640"/>
      </w:tabs>
    </w:pPr>
  </w:style>
  <w:style w:type="character" w:customStyle="1" w:styleId="FooterChar">
    <w:name w:val="Footer Char"/>
    <w:basedOn w:val="DefaultParagraphFont"/>
    <w:link w:val="Footer"/>
    <w:uiPriority w:val="99"/>
    <w:rsid w:val="00E95E0E"/>
    <w:rPr>
      <w:rFonts w:ascii="Trebuchet MS" w:eastAsia="Times New Roman" w:hAnsi="Trebuchet MS" w:cs="Times New Roman"/>
      <w:color w:val="000000"/>
      <w:sz w:val="24"/>
      <w:szCs w:val="20"/>
    </w:rPr>
  </w:style>
  <w:style w:type="paragraph" w:customStyle="1" w:styleId="CompanyInfo">
    <w:name w:val="Company Info"/>
    <w:basedOn w:val="Normal"/>
    <w:rsid w:val="00E95E0E"/>
    <w:rPr>
      <w:rFonts w:cs="Arial"/>
      <w:color w:val="336699"/>
      <w:spacing w:val="20"/>
      <w:sz w:val="18"/>
      <w:szCs w:val="18"/>
    </w:rPr>
  </w:style>
  <w:style w:type="paragraph" w:styleId="BodyText">
    <w:name w:val="Body Text"/>
    <w:link w:val="BodyTextChar"/>
    <w:rsid w:val="00E95E0E"/>
    <w:pPr>
      <w:spacing w:after="120" w:line="240" w:lineRule="atLeast"/>
    </w:pPr>
    <w:rPr>
      <w:rFonts w:ascii="Trebuchet MS" w:eastAsia="Times New Roman" w:hAnsi="Trebuchet MS" w:cs="Arial"/>
      <w:color w:val="000000"/>
      <w:szCs w:val="20"/>
    </w:rPr>
  </w:style>
  <w:style w:type="character" w:customStyle="1" w:styleId="BodyTextChar">
    <w:name w:val="Body Text Char"/>
    <w:basedOn w:val="DefaultParagraphFont"/>
    <w:link w:val="BodyText"/>
    <w:rsid w:val="00E95E0E"/>
    <w:rPr>
      <w:rFonts w:ascii="Trebuchet MS" w:eastAsia="Times New Roman" w:hAnsi="Trebuchet MS" w:cs="Arial"/>
      <w:color w:val="000000"/>
      <w:szCs w:val="20"/>
    </w:rPr>
  </w:style>
  <w:style w:type="character" w:styleId="FootnoteReference">
    <w:name w:val="footnote reference"/>
    <w:basedOn w:val="DefaultParagraphFont"/>
    <w:uiPriority w:val="99"/>
    <w:unhideWhenUsed/>
    <w:rsid w:val="00E95E0E"/>
    <w:rPr>
      <w:vertAlign w:val="superscript"/>
    </w:rPr>
  </w:style>
  <w:style w:type="paragraph" w:styleId="FootnoteText">
    <w:name w:val="footnote text"/>
    <w:basedOn w:val="Normal"/>
    <w:link w:val="FootnoteTextChar"/>
    <w:uiPriority w:val="99"/>
    <w:semiHidden/>
    <w:unhideWhenUsed/>
    <w:rsid w:val="00E95E0E"/>
    <w:rPr>
      <w:sz w:val="20"/>
    </w:rPr>
  </w:style>
  <w:style w:type="character" w:customStyle="1" w:styleId="FootnoteTextChar">
    <w:name w:val="Footnote Text Char"/>
    <w:basedOn w:val="DefaultParagraphFont"/>
    <w:link w:val="FootnoteText"/>
    <w:uiPriority w:val="99"/>
    <w:semiHidden/>
    <w:rsid w:val="00E95E0E"/>
    <w:rPr>
      <w:rFonts w:ascii="Trebuchet MS" w:eastAsia="Times New Roman" w:hAnsi="Trebuchet MS" w:cs="Times New Roman"/>
      <w:color w:val="000000"/>
      <w:sz w:val="20"/>
      <w:szCs w:val="20"/>
    </w:rPr>
  </w:style>
  <w:style w:type="character" w:customStyle="1" w:styleId="Heading1Char">
    <w:name w:val="Heading 1 Char"/>
    <w:basedOn w:val="DefaultParagraphFont"/>
    <w:link w:val="Heading1"/>
    <w:uiPriority w:val="9"/>
    <w:rsid w:val="00312A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12AF0"/>
    <w:pPr>
      <w:tabs>
        <w:tab w:val="center" w:pos="4680"/>
        <w:tab w:val="right" w:pos="9360"/>
      </w:tabs>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312AF0"/>
  </w:style>
  <w:style w:type="character" w:styleId="CommentReference">
    <w:name w:val="annotation reference"/>
    <w:basedOn w:val="DefaultParagraphFont"/>
    <w:uiPriority w:val="99"/>
    <w:semiHidden/>
    <w:unhideWhenUsed/>
    <w:rsid w:val="00312AF0"/>
    <w:rPr>
      <w:sz w:val="16"/>
      <w:szCs w:val="16"/>
    </w:rPr>
  </w:style>
  <w:style w:type="paragraph" w:styleId="EndnoteText">
    <w:name w:val="endnote text"/>
    <w:basedOn w:val="Normal"/>
    <w:link w:val="EndnoteTextChar"/>
    <w:uiPriority w:val="99"/>
    <w:semiHidden/>
    <w:unhideWhenUsed/>
    <w:rsid w:val="00312AF0"/>
    <w:rPr>
      <w:rFonts w:asciiTheme="minorHAnsi" w:eastAsiaTheme="minorHAnsi" w:hAnsiTheme="minorHAnsi" w:cstheme="minorBidi"/>
      <w:color w:val="auto"/>
      <w:sz w:val="20"/>
    </w:rPr>
  </w:style>
  <w:style w:type="character" w:customStyle="1" w:styleId="EndnoteTextChar">
    <w:name w:val="Endnote Text Char"/>
    <w:basedOn w:val="DefaultParagraphFont"/>
    <w:link w:val="EndnoteText"/>
    <w:uiPriority w:val="99"/>
    <w:semiHidden/>
    <w:rsid w:val="00312AF0"/>
    <w:rPr>
      <w:sz w:val="20"/>
      <w:szCs w:val="20"/>
    </w:rPr>
  </w:style>
  <w:style w:type="character" w:styleId="EndnoteReference">
    <w:name w:val="endnote reference"/>
    <w:basedOn w:val="DefaultParagraphFont"/>
    <w:uiPriority w:val="99"/>
    <w:semiHidden/>
    <w:unhideWhenUsed/>
    <w:rsid w:val="00312AF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E0E"/>
    <w:pPr>
      <w:spacing w:after="0" w:line="240" w:lineRule="auto"/>
    </w:pPr>
    <w:rPr>
      <w:rFonts w:ascii="Trebuchet MS" w:eastAsia="Times New Roman" w:hAnsi="Trebuchet MS" w:cs="Times New Roman"/>
      <w:color w:val="000000"/>
      <w:sz w:val="24"/>
      <w:szCs w:val="20"/>
    </w:rPr>
  </w:style>
  <w:style w:type="paragraph" w:styleId="Heading1">
    <w:name w:val="heading 1"/>
    <w:basedOn w:val="Normal"/>
    <w:next w:val="Normal"/>
    <w:link w:val="Heading1Char"/>
    <w:uiPriority w:val="9"/>
    <w:qFormat/>
    <w:rsid w:val="00312AF0"/>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95E0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link w:val="Style1Char"/>
    <w:qFormat/>
    <w:rsid w:val="00E95E0E"/>
    <w:pPr>
      <w:keepLines w:val="0"/>
      <w:spacing w:before="0" w:after="40"/>
    </w:pPr>
    <w:rPr>
      <w:rFonts w:ascii="Century Gothic" w:eastAsia="Times New Roman" w:hAnsi="Century Gothic" w:cs="Arial"/>
      <w:b/>
      <w:color w:val="FFC000" w:themeColor="accent4"/>
      <w:sz w:val="24"/>
      <w:szCs w:val="32"/>
    </w:rPr>
  </w:style>
  <w:style w:type="character" w:customStyle="1" w:styleId="Style1Char">
    <w:name w:val="Style1 Char"/>
    <w:basedOn w:val="Heading2Char"/>
    <w:link w:val="Style1"/>
    <w:rsid w:val="00E95E0E"/>
    <w:rPr>
      <w:rFonts w:ascii="Century Gothic" w:eastAsia="Times New Roman" w:hAnsi="Century Gothic" w:cs="Arial"/>
      <w:b/>
      <w:color w:val="FFC000" w:themeColor="accent4"/>
      <w:sz w:val="24"/>
      <w:szCs w:val="32"/>
    </w:rPr>
  </w:style>
  <w:style w:type="character" w:customStyle="1" w:styleId="Heading2Char">
    <w:name w:val="Heading 2 Char"/>
    <w:basedOn w:val="DefaultParagraphFont"/>
    <w:link w:val="Heading2"/>
    <w:uiPriority w:val="9"/>
    <w:semiHidden/>
    <w:rsid w:val="00E95E0E"/>
    <w:rPr>
      <w:rFonts w:asciiTheme="majorHAnsi" w:eastAsiaTheme="majorEastAsia" w:hAnsiTheme="majorHAnsi" w:cstheme="majorBidi"/>
      <w:color w:val="2E74B5" w:themeColor="accent1" w:themeShade="BF"/>
      <w:sz w:val="26"/>
      <w:szCs w:val="26"/>
    </w:rPr>
  </w:style>
  <w:style w:type="paragraph" w:customStyle="1" w:styleId="Style2">
    <w:name w:val="Style2"/>
    <w:basedOn w:val="Normal"/>
    <w:link w:val="Style2Char"/>
    <w:qFormat/>
    <w:rsid w:val="00E95E0E"/>
    <w:rPr>
      <w:rFonts w:ascii="Century Gothic" w:hAnsi="Century Gothic"/>
      <w:b/>
      <w:noProof/>
      <w:color w:val="A5A5A5" w:themeColor="accent3"/>
      <w:sz w:val="36"/>
    </w:rPr>
  </w:style>
  <w:style w:type="character" w:customStyle="1" w:styleId="Style2Char">
    <w:name w:val="Style2 Char"/>
    <w:basedOn w:val="DefaultParagraphFont"/>
    <w:link w:val="Style2"/>
    <w:rsid w:val="00E95E0E"/>
    <w:rPr>
      <w:rFonts w:ascii="Century Gothic" w:eastAsia="Times New Roman" w:hAnsi="Century Gothic" w:cs="Times New Roman"/>
      <w:b/>
      <w:noProof/>
      <w:color w:val="A5A5A5" w:themeColor="accent3"/>
      <w:sz w:val="36"/>
      <w:szCs w:val="20"/>
    </w:rPr>
  </w:style>
  <w:style w:type="paragraph" w:styleId="Footer">
    <w:name w:val="footer"/>
    <w:basedOn w:val="Normal"/>
    <w:link w:val="FooterChar"/>
    <w:uiPriority w:val="99"/>
    <w:rsid w:val="00E95E0E"/>
    <w:pPr>
      <w:tabs>
        <w:tab w:val="center" w:pos="4320"/>
        <w:tab w:val="right" w:pos="8640"/>
      </w:tabs>
    </w:pPr>
  </w:style>
  <w:style w:type="character" w:customStyle="1" w:styleId="FooterChar">
    <w:name w:val="Footer Char"/>
    <w:basedOn w:val="DefaultParagraphFont"/>
    <w:link w:val="Footer"/>
    <w:uiPriority w:val="99"/>
    <w:rsid w:val="00E95E0E"/>
    <w:rPr>
      <w:rFonts w:ascii="Trebuchet MS" w:eastAsia="Times New Roman" w:hAnsi="Trebuchet MS" w:cs="Times New Roman"/>
      <w:color w:val="000000"/>
      <w:sz w:val="24"/>
      <w:szCs w:val="20"/>
    </w:rPr>
  </w:style>
  <w:style w:type="paragraph" w:customStyle="1" w:styleId="CompanyInfo">
    <w:name w:val="Company Info"/>
    <w:basedOn w:val="Normal"/>
    <w:rsid w:val="00E95E0E"/>
    <w:rPr>
      <w:rFonts w:cs="Arial"/>
      <w:color w:val="336699"/>
      <w:spacing w:val="20"/>
      <w:sz w:val="18"/>
      <w:szCs w:val="18"/>
    </w:rPr>
  </w:style>
  <w:style w:type="paragraph" w:styleId="BodyText">
    <w:name w:val="Body Text"/>
    <w:link w:val="BodyTextChar"/>
    <w:rsid w:val="00E95E0E"/>
    <w:pPr>
      <w:spacing w:after="120" w:line="240" w:lineRule="atLeast"/>
    </w:pPr>
    <w:rPr>
      <w:rFonts w:ascii="Trebuchet MS" w:eastAsia="Times New Roman" w:hAnsi="Trebuchet MS" w:cs="Arial"/>
      <w:color w:val="000000"/>
      <w:szCs w:val="20"/>
    </w:rPr>
  </w:style>
  <w:style w:type="character" w:customStyle="1" w:styleId="BodyTextChar">
    <w:name w:val="Body Text Char"/>
    <w:basedOn w:val="DefaultParagraphFont"/>
    <w:link w:val="BodyText"/>
    <w:rsid w:val="00E95E0E"/>
    <w:rPr>
      <w:rFonts w:ascii="Trebuchet MS" w:eastAsia="Times New Roman" w:hAnsi="Trebuchet MS" w:cs="Arial"/>
      <w:color w:val="000000"/>
      <w:szCs w:val="20"/>
    </w:rPr>
  </w:style>
  <w:style w:type="character" w:styleId="FootnoteReference">
    <w:name w:val="footnote reference"/>
    <w:basedOn w:val="DefaultParagraphFont"/>
    <w:uiPriority w:val="99"/>
    <w:unhideWhenUsed/>
    <w:rsid w:val="00E95E0E"/>
    <w:rPr>
      <w:vertAlign w:val="superscript"/>
    </w:rPr>
  </w:style>
  <w:style w:type="paragraph" w:styleId="FootnoteText">
    <w:name w:val="footnote text"/>
    <w:basedOn w:val="Normal"/>
    <w:link w:val="FootnoteTextChar"/>
    <w:uiPriority w:val="99"/>
    <w:semiHidden/>
    <w:unhideWhenUsed/>
    <w:rsid w:val="00E95E0E"/>
    <w:rPr>
      <w:sz w:val="20"/>
    </w:rPr>
  </w:style>
  <w:style w:type="character" w:customStyle="1" w:styleId="FootnoteTextChar">
    <w:name w:val="Footnote Text Char"/>
    <w:basedOn w:val="DefaultParagraphFont"/>
    <w:link w:val="FootnoteText"/>
    <w:uiPriority w:val="99"/>
    <w:semiHidden/>
    <w:rsid w:val="00E95E0E"/>
    <w:rPr>
      <w:rFonts w:ascii="Trebuchet MS" w:eastAsia="Times New Roman" w:hAnsi="Trebuchet MS" w:cs="Times New Roman"/>
      <w:color w:val="000000"/>
      <w:sz w:val="20"/>
      <w:szCs w:val="20"/>
    </w:rPr>
  </w:style>
  <w:style w:type="character" w:customStyle="1" w:styleId="Heading1Char">
    <w:name w:val="Heading 1 Char"/>
    <w:basedOn w:val="DefaultParagraphFont"/>
    <w:link w:val="Heading1"/>
    <w:uiPriority w:val="9"/>
    <w:rsid w:val="00312A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12AF0"/>
    <w:pPr>
      <w:tabs>
        <w:tab w:val="center" w:pos="4680"/>
        <w:tab w:val="right" w:pos="9360"/>
      </w:tabs>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312AF0"/>
  </w:style>
  <w:style w:type="character" w:styleId="CommentReference">
    <w:name w:val="annotation reference"/>
    <w:basedOn w:val="DefaultParagraphFont"/>
    <w:uiPriority w:val="99"/>
    <w:semiHidden/>
    <w:unhideWhenUsed/>
    <w:rsid w:val="00312AF0"/>
    <w:rPr>
      <w:sz w:val="16"/>
      <w:szCs w:val="16"/>
    </w:rPr>
  </w:style>
  <w:style w:type="paragraph" w:styleId="EndnoteText">
    <w:name w:val="endnote text"/>
    <w:basedOn w:val="Normal"/>
    <w:link w:val="EndnoteTextChar"/>
    <w:uiPriority w:val="99"/>
    <w:semiHidden/>
    <w:unhideWhenUsed/>
    <w:rsid w:val="00312AF0"/>
    <w:rPr>
      <w:rFonts w:asciiTheme="minorHAnsi" w:eastAsiaTheme="minorHAnsi" w:hAnsiTheme="minorHAnsi" w:cstheme="minorBidi"/>
      <w:color w:val="auto"/>
      <w:sz w:val="20"/>
    </w:rPr>
  </w:style>
  <w:style w:type="character" w:customStyle="1" w:styleId="EndnoteTextChar">
    <w:name w:val="Endnote Text Char"/>
    <w:basedOn w:val="DefaultParagraphFont"/>
    <w:link w:val="EndnoteText"/>
    <w:uiPriority w:val="99"/>
    <w:semiHidden/>
    <w:rsid w:val="00312AF0"/>
    <w:rPr>
      <w:sz w:val="20"/>
      <w:szCs w:val="20"/>
    </w:rPr>
  </w:style>
  <w:style w:type="character" w:styleId="EndnoteReference">
    <w:name w:val="endnote reference"/>
    <w:basedOn w:val="DefaultParagraphFont"/>
    <w:uiPriority w:val="99"/>
    <w:semiHidden/>
    <w:unhideWhenUsed/>
    <w:rsid w:val="00312A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3731</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UC Berkeley</Company>
  <LinksUpToDate>false</LinksUpToDate>
  <CharactersWithSpaces>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Swanbeck</dc:creator>
  <cp:keywords/>
  <dc:description/>
  <cp:lastModifiedBy>EEI</cp:lastModifiedBy>
  <cp:revision>2</cp:revision>
  <dcterms:created xsi:type="dcterms:W3CDTF">2019-09-05T02:18:00Z</dcterms:created>
  <dcterms:modified xsi:type="dcterms:W3CDTF">2019-09-05T02:18:00Z</dcterms:modified>
</cp:coreProperties>
</file>